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after="200" w:line="276" w:lineRule="auto"/>
        <w:rPr>
          <w:b/>
          <w:sz w:val="28"/>
          <w:szCs w:val="28"/>
        </w:rPr>
      </w:pPr>
      <w:r>
        <w:rPr>
          <w:b/>
          <w:sz w:val="28"/>
          <w:szCs w:val="28"/>
        </w:rPr>
        <w:t>Teaching Notes for Information Technology Experts, Inc. of Maryland:</w:t>
      </w:r>
      <w:r>
        <w:rPr>
          <w:sz w:val="28"/>
          <w:szCs w:val="28"/>
        </w:rPr>
        <w:t xml:space="preserve"> </w:t>
      </w:r>
      <w:r>
        <w:rPr>
          <w:b/>
          <w:sz w:val="28"/>
          <w:szCs w:val="28"/>
        </w:rPr>
        <w:t>Partnerships and Governance: Perils and Pitfalls</w:t>
      </w:r>
    </w:p>
    <w:p>
      <w:pPr>
        <w:spacing w:after="200" w:line="276" w:lineRule="auto"/>
        <w:rPr>
          <w:b/>
        </w:rPr>
      </w:pPr>
      <w:r>
        <w:rPr>
          <w:b/>
        </w:rPr>
        <w:t>Chapter 2: Forms of Business Ownership</w:t>
      </w:r>
    </w:p>
    <w:p>
      <w:r>
        <w:rPr>
          <w:b/>
        </w:rPr>
        <w:t xml:space="preserve">Synopsis: </w:t>
      </w:r>
      <w:r>
        <w:t>This case is about an IT consulting firm where the three partner owners are not able to agree on important decisions that will allow the firm to proceed profitably into the future. The firm has gone through a period of rapid growth through acquisitions, weathered the financial crisis, and amassed a large amount of debt. William Peace, the CEO, is currently at a juncture where he needs to fully integrate the acquisitions and decide the best strategy for the future. William's problem was more than a decision about growth and financing. It was also about how to deal with the dysfunctional governance dynamics of the three partners who owned the firm. If the partners couldn’t come to an agreement about the future of the firm, William's choices were to look for a buyer either for his share or for the entire company, to restructure the firm’s debt possibly through bankruptcy reorganization, or to find some other creative option.</w:t>
      </w:r>
    </w:p>
    <w:p/>
    <w:p>
      <w:pPr>
        <w:spacing w:after="200" w:line="276" w:lineRule="auto"/>
      </w:pPr>
      <w:r>
        <w:rPr>
          <w:b/>
        </w:rPr>
        <w:t xml:space="preserve">Topics: </w:t>
      </w:r>
      <w:r>
        <w:t>corporate governance issues in a partnership with three partners with differing goals.</w:t>
      </w:r>
    </w:p>
    <w:p>
      <w:pPr>
        <w:spacing w:after="200" w:line="276" w:lineRule="auto"/>
      </w:pPr>
      <w:r>
        <w:rPr>
          <w:b/>
        </w:rPr>
        <w:t>Learning Objectives</w:t>
      </w:r>
    </w:p>
    <w:p>
      <w:pPr>
        <w:pStyle w:val="ListParagraph"/>
        <w:numPr>
          <w:ilvl w:val="0"/>
          <w:numId w:val="6"/>
        </w:numPr>
        <w:tabs>
          <w:tab w:val="clear" w:pos="1080"/>
          <w:tab w:val="num" w:pos="720"/>
        </w:tabs>
        <w:spacing w:after="200" w:line="276" w:lineRule="auto"/>
        <w:ind w:left="720"/>
      </w:pPr>
      <w:r>
        <w:t>list the options for the future for a partnership with conflicts, including the pros and cons of each option;</w:t>
      </w:r>
    </w:p>
    <w:p>
      <w:pPr>
        <w:numPr>
          <w:ilvl w:val="0"/>
          <w:numId w:val="6"/>
        </w:numPr>
        <w:tabs>
          <w:tab w:val="clear" w:pos="1080"/>
          <w:tab w:val="num" w:pos="720"/>
        </w:tabs>
        <w:ind w:left="720"/>
      </w:pPr>
      <w:proofErr w:type="gramStart"/>
      <w:r>
        <w:t>d</w:t>
      </w:r>
      <w:bookmarkStart w:id="0" w:name="_GoBack"/>
      <w:bookmarkEnd w:id="0"/>
      <w:r>
        <w:t>iscuss</w:t>
      </w:r>
      <w:proofErr w:type="gramEnd"/>
      <w:r>
        <w:t xml:space="preserve"> governance issues in a small firm where the principals cannot agree on a future course of action.</w:t>
      </w:r>
    </w:p>
    <w:p>
      <w:pPr>
        <w:rPr>
          <w:b/>
        </w:rPr>
      </w:pPr>
    </w:p>
    <w:p>
      <w:pPr>
        <w:rPr>
          <w:b/>
        </w:rPr>
      </w:pPr>
      <w:r>
        <w:rPr>
          <w:b/>
        </w:rPr>
        <w:t>Teaching Tips</w:t>
      </w:r>
    </w:p>
    <w:p>
      <w:pPr>
        <w:rPr>
          <w:b/>
        </w:rPr>
      </w:pPr>
    </w:p>
    <w:p>
      <w:r>
        <w:t>1.</w:t>
      </w:r>
      <w:r>
        <w:rPr>
          <w:b/>
        </w:rPr>
        <w:t xml:space="preserve"> Role-playing. </w:t>
      </w:r>
      <w:r>
        <w:t>Student groups can act as partners within the firm and assume the position of William, John or Carl. As they role play their positions, they would make recommendations for solving the firm's problems. This will help to illustrate to the students how the impasse between the partners has progressed, how it feels, and how it impedes decision-making.</w:t>
      </w:r>
    </w:p>
    <w:p>
      <w:r>
        <w:t xml:space="preserve">2. </w:t>
      </w:r>
      <w:r>
        <w:rPr>
          <w:b/>
        </w:rPr>
        <w:t>Case Analyses Competition.</w:t>
      </w:r>
      <w:r>
        <w:t xml:space="preserve"> Individual students or student groups could be assigned the case and asked to come up with recommendations for the company based on the different perspectives of the partners. Another student group could act as the judge to determine which perspective is best.</w:t>
      </w:r>
    </w:p>
    <w:p>
      <w:r>
        <w:t xml:space="preserve">3. </w:t>
      </w:r>
      <w:r>
        <w:rPr>
          <w:b/>
        </w:rPr>
        <w:t>Summary of Pros and Cons of Alternatives</w:t>
      </w:r>
      <w:r>
        <w:t>. Student groups can fill in the IM Exhibit 1 Pros and Cons of the Alternatives and take turns presenting their alternatives. A discussion can ensue about the relative merits of each alternative.</w:t>
      </w:r>
    </w:p>
    <w:p>
      <w:pPr>
        <w:spacing w:line="276" w:lineRule="auto"/>
        <w:rPr>
          <w:b/>
        </w:rPr>
      </w:pPr>
    </w:p>
    <w:p>
      <w:pPr>
        <w:rPr>
          <w:b/>
        </w:rPr>
      </w:pPr>
      <w:r>
        <w:rPr>
          <w:b/>
        </w:rPr>
        <w:t>Discussion Questions and Answers</w:t>
      </w:r>
    </w:p>
    <w:p>
      <w:pPr>
        <w:pStyle w:val="ListParagraph"/>
        <w:spacing w:after="200" w:line="276" w:lineRule="auto"/>
        <w:ind w:left="0"/>
        <w:rPr>
          <w:i/>
        </w:rPr>
      </w:pPr>
      <w:r>
        <w:rPr>
          <w:i/>
        </w:rPr>
        <w:t>1. What are some of the governance issues in a small firm where the principals cannot agree on a future course of action?</w:t>
      </w:r>
    </w:p>
    <w:p>
      <w:pPr>
        <w:pStyle w:val="ListParagraph"/>
        <w:spacing w:after="200" w:line="276" w:lineRule="auto"/>
        <w:ind w:left="360"/>
      </w:pPr>
    </w:p>
    <w:p>
      <w:pPr>
        <w:pStyle w:val="ListParagraph"/>
        <w:spacing w:after="200" w:line="276" w:lineRule="auto"/>
        <w:ind w:left="90"/>
      </w:pPr>
      <w:r>
        <w:t xml:space="preserve">Given that there are three owners (directors) of the firm with equal say and control of the company, serious problems could arise if one or more of the owners </w:t>
      </w:r>
      <w:proofErr w:type="gramStart"/>
      <w:r>
        <w:t>uses</w:t>
      </w:r>
      <w:proofErr w:type="gramEnd"/>
      <w:r>
        <w:t xml:space="preserve"> the firm for their own </w:t>
      </w:r>
      <w:r>
        <w:lastRenderedPageBreak/>
        <w:t>private benefit or to stall decision-making ability of the firm. This situation can lead to suboptimal levels of investment in the firm by one owner and the resultant inability of the firm to grow or change. This could also leave the other owners inadequately protected within their own firm. When one or more of the owners is not willing to provide equity financing, this can lead to illiquidity as well as a continuing standstill in making decisions for the firm. The formal and informal rules of the "corporation" and the inability of the owners to work together as a group make effective decision making about the firm's future difficult. How the partners' agreement and bylaws are structured can either promote or impede the effective functioning of the board. In the case of ITE, Inc., the company is controlled by the three owners who comprise the Board of Directors. One director has the ability to hold up any action or decision within the firm because each director has an equal vote and control. This can promote a situation where decision making is very cumbersome or even impossible, with no decisions ever finalized.</w:t>
      </w:r>
      <w:r>
        <w:br/>
      </w:r>
    </w:p>
    <w:p>
      <w:pPr>
        <w:pStyle w:val="ListParagraph"/>
        <w:spacing w:after="200" w:line="276" w:lineRule="auto"/>
        <w:ind w:left="0"/>
        <w:rPr>
          <w:i/>
        </w:rPr>
      </w:pPr>
      <w:r>
        <w:rPr>
          <w:i/>
        </w:rPr>
        <w:t>2. What are William's options for ITE, Inc. and what are the pros and cons of each option? (Options may include: selling, bankruptcy, or continuing the business through organic growth or growth by acquisition.)</w:t>
      </w:r>
    </w:p>
    <w:p>
      <w:r>
        <w:t>Some pros and cons for each alternative are provided below. Students may think of others. The instructor may wish to provide students with a blank table like Exhibit 1 and ask them to fill it in as an assignment. Or, the instructor could give students a partially filled-out table and ask students to fill in the rest.</w:t>
      </w:r>
    </w:p>
    <w:p/>
    <w:p>
      <w:r>
        <w:t>Exhibit 1</w:t>
      </w:r>
    </w:p>
    <w:p>
      <w:pPr>
        <w:rPr>
          <w:spacing w:val="-3"/>
        </w:rPr>
      </w:pPr>
      <w:r>
        <w:t>Summary of Pros and Cons of Alternatives for Integration Technology Experts, Inc. of Maryland</w:t>
      </w:r>
    </w:p>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tc>
          <w:tcPr>
            <w:tcW w:w="4788" w:type="dxa"/>
            <w:shd w:val="clear" w:color="auto" w:fill="FBD4B4"/>
          </w:tcPr>
          <w:p>
            <w:r>
              <w:t>For selling the entire firm</w:t>
            </w:r>
          </w:p>
        </w:tc>
        <w:tc>
          <w:tcPr>
            <w:tcW w:w="4788" w:type="dxa"/>
            <w:shd w:val="clear" w:color="auto" w:fill="FBD4B4"/>
          </w:tcPr>
          <w:p>
            <w:r>
              <w:t>Against selling</w:t>
            </w:r>
          </w:p>
        </w:tc>
      </w:tr>
      <w:tr>
        <w:tc>
          <w:tcPr>
            <w:tcW w:w="4788" w:type="dxa"/>
            <w:shd w:val="clear" w:color="auto" w:fill="auto"/>
          </w:tcPr>
          <w:p>
            <w:r>
              <w:t>End disputes among owners who can move on to new ventures</w:t>
            </w:r>
          </w:p>
        </w:tc>
        <w:tc>
          <w:tcPr>
            <w:tcW w:w="4788" w:type="dxa"/>
            <w:shd w:val="clear" w:color="auto" w:fill="auto"/>
          </w:tcPr>
          <w:p>
            <w:r>
              <w:t>Market is down; poor timing, resulting in low valuations</w:t>
            </w:r>
          </w:p>
        </w:tc>
      </w:tr>
      <w:tr>
        <w:tc>
          <w:tcPr>
            <w:tcW w:w="4788" w:type="dxa"/>
            <w:shd w:val="clear" w:color="auto" w:fill="FBD4B4"/>
          </w:tcPr>
          <w:p>
            <w:r>
              <w:t>For one partner selling</w:t>
            </w:r>
          </w:p>
        </w:tc>
        <w:tc>
          <w:tcPr>
            <w:tcW w:w="4788" w:type="dxa"/>
            <w:shd w:val="clear" w:color="auto" w:fill="FBD4B4"/>
          </w:tcPr>
          <w:p>
            <w:r>
              <w:t>Against one partner selling</w:t>
            </w:r>
          </w:p>
        </w:tc>
      </w:tr>
      <w:tr>
        <w:tc>
          <w:tcPr>
            <w:tcW w:w="4788" w:type="dxa"/>
            <w:shd w:val="clear" w:color="auto" w:fill="auto"/>
          </w:tcPr>
          <w:p>
            <w:r>
              <w:t>If William sells, this gives him a way out; if one of the other partners sells, decisions might be made with less controversy.</w:t>
            </w:r>
          </w:p>
        </w:tc>
        <w:tc>
          <w:tcPr>
            <w:tcW w:w="4788" w:type="dxa"/>
            <w:shd w:val="clear" w:color="auto" w:fill="auto"/>
          </w:tcPr>
          <w:p>
            <w:r>
              <w:t>Breaks up the team that has built the firm</w:t>
            </w:r>
          </w:p>
        </w:tc>
      </w:tr>
      <w:tr>
        <w:tc>
          <w:tcPr>
            <w:tcW w:w="4788" w:type="dxa"/>
            <w:shd w:val="clear" w:color="auto" w:fill="FBD4B4"/>
          </w:tcPr>
          <w:p>
            <w:r>
              <w:t>For Chapter 7 bankruptcy</w:t>
            </w:r>
          </w:p>
        </w:tc>
        <w:tc>
          <w:tcPr>
            <w:tcW w:w="4788" w:type="dxa"/>
            <w:shd w:val="clear" w:color="auto" w:fill="FBD4B4"/>
          </w:tcPr>
          <w:p>
            <w:r>
              <w:t>Against Chapter 7 bankruptcy</w:t>
            </w:r>
          </w:p>
        </w:tc>
      </w:tr>
      <w:tr>
        <w:tc>
          <w:tcPr>
            <w:tcW w:w="4788" w:type="dxa"/>
            <w:shd w:val="clear" w:color="auto" w:fill="auto"/>
          </w:tcPr>
          <w:p>
            <w:r>
              <w:t>At least recover some value from initial investment</w:t>
            </w:r>
          </w:p>
        </w:tc>
        <w:tc>
          <w:tcPr>
            <w:tcW w:w="4788" w:type="dxa"/>
            <w:shd w:val="clear" w:color="auto" w:fill="auto"/>
          </w:tcPr>
          <w:p>
            <w:r>
              <w:t>Definitely fire sale prices—lowest valuations tend to be from liquidations</w:t>
            </w:r>
          </w:p>
        </w:tc>
      </w:tr>
      <w:tr>
        <w:tc>
          <w:tcPr>
            <w:tcW w:w="4788" w:type="dxa"/>
            <w:shd w:val="clear" w:color="auto" w:fill="auto"/>
          </w:tcPr>
          <w:p/>
        </w:tc>
        <w:tc>
          <w:tcPr>
            <w:tcW w:w="4788" w:type="dxa"/>
            <w:shd w:val="clear" w:color="auto" w:fill="auto"/>
          </w:tcPr>
          <w:p>
            <w:r>
              <w:t>Reputational issues for owners; future employment and financing issues after declaring bankruptcy</w:t>
            </w:r>
          </w:p>
        </w:tc>
      </w:tr>
      <w:tr>
        <w:tc>
          <w:tcPr>
            <w:tcW w:w="4788" w:type="dxa"/>
            <w:shd w:val="clear" w:color="auto" w:fill="auto"/>
          </w:tcPr>
          <w:p/>
        </w:tc>
        <w:tc>
          <w:tcPr>
            <w:tcW w:w="4788" w:type="dxa"/>
            <w:shd w:val="clear" w:color="auto" w:fill="auto"/>
          </w:tcPr>
          <w:p>
            <w:r>
              <w:t>Personal assets at risk in liquidation if liabilities exceed assets</w:t>
            </w:r>
          </w:p>
        </w:tc>
      </w:tr>
      <w:tr>
        <w:tc>
          <w:tcPr>
            <w:tcW w:w="4788" w:type="dxa"/>
            <w:shd w:val="clear" w:color="auto" w:fill="FBD4B4"/>
          </w:tcPr>
          <w:p>
            <w:r>
              <w:t>For Chapter 11 bankruptcy</w:t>
            </w:r>
          </w:p>
        </w:tc>
        <w:tc>
          <w:tcPr>
            <w:tcW w:w="4788" w:type="dxa"/>
            <w:shd w:val="clear" w:color="auto" w:fill="FBD4B4"/>
          </w:tcPr>
          <w:p>
            <w:r>
              <w:t>Against Chapter 11 bankruptcy</w:t>
            </w:r>
          </w:p>
        </w:tc>
      </w:tr>
      <w:tr>
        <w:tc>
          <w:tcPr>
            <w:tcW w:w="4788" w:type="dxa"/>
            <w:shd w:val="clear" w:color="auto" w:fill="auto"/>
          </w:tcPr>
          <w:p>
            <w:r>
              <w:t>Possibility of reducing debts through renegotiation, putting company on a firmer financial foundation</w:t>
            </w:r>
          </w:p>
        </w:tc>
        <w:tc>
          <w:tcPr>
            <w:tcW w:w="4788" w:type="dxa"/>
            <w:shd w:val="clear" w:color="auto" w:fill="auto"/>
          </w:tcPr>
          <w:p>
            <w:r>
              <w:t>Long, time consuming process that focuses managers away from operations</w:t>
            </w:r>
          </w:p>
        </w:tc>
      </w:tr>
      <w:tr>
        <w:tc>
          <w:tcPr>
            <w:tcW w:w="4788" w:type="dxa"/>
            <w:shd w:val="clear" w:color="auto" w:fill="FBD4B4"/>
          </w:tcPr>
          <w:p>
            <w:r>
              <w:lastRenderedPageBreak/>
              <w:t>For obtaining financing for growth</w:t>
            </w:r>
          </w:p>
        </w:tc>
        <w:tc>
          <w:tcPr>
            <w:tcW w:w="4788" w:type="dxa"/>
            <w:shd w:val="clear" w:color="auto" w:fill="FBD4B4"/>
          </w:tcPr>
          <w:p>
            <w:r>
              <w:t>Against obtaining financing for growth</w:t>
            </w:r>
          </w:p>
        </w:tc>
      </w:tr>
      <w:tr>
        <w:tc>
          <w:tcPr>
            <w:tcW w:w="4788" w:type="dxa"/>
            <w:shd w:val="clear" w:color="auto" w:fill="auto"/>
          </w:tcPr>
          <w:p>
            <w:r>
              <w:t>Ideal solution for the long term, but requires buy-in from all owners. William, however, had stated that DC Technology would not be acquiring companies in the near future. The business is not capital intensive, and without growth by acquisition, capital needs would be very low and would not require outside financing in the immediate future.</w:t>
            </w:r>
          </w:p>
        </w:tc>
        <w:tc>
          <w:tcPr>
            <w:tcW w:w="4788" w:type="dxa"/>
            <w:shd w:val="clear" w:color="auto" w:fill="auto"/>
          </w:tcPr>
          <w:p>
            <w:r>
              <w:t>Banks are very likely to require personal asset loan guarantees, putting personal assets at risk.</w:t>
            </w:r>
          </w:p>
        </w:tc>
      </w:tr>
      <w:tr>
        <w:tc>
          <w:tcPr>
            <w:tcW w:w="4788" w:type="dxa"/>
            <w:shd w:val="clear" w:color="auto" w:fill="FBD4B4"/>
          </w:tcPr>
          <w:p>
            <w:r>
              <w:t>For spinning off prior acquisitions</w:t>
            </w:r>
          </w:p>
        </w:tc>
        <w:tc>
          <w:tcPr>
            <w:tcW w:w="4788" w:type="dxa"/>
            <w:shd w:val="clear" w:color="auto" w:fill="FBD4B4"/>
          </w:tcPr>
          <w:p>
            <w:r>
              <w:t>Against spinning off prior acquisitions</w:t>
            </w:r>
          </w:p>
        </w:tc>
      </w:tr>
      <w:tr>
        <w:tc>
          <w:tcPr>
            <w:tcW w:w="4788" w:type="dxa"/>
            <w:tcBorders>
              <w:bottom w:val="single" w:sz="4" w:space="0" w:color="auto"/>
            </w:tcBorders>
            <w:shd w:val="clear" w:color="auto" w:fill="auto"/>
          </w:tcPr>
          <w:p>
            <w:r>
              <w:t>Possibility of increasing profitability for the entire firm</w:t>
            </w:r>
          </w:p>
        </w:tc>
        <w:tc>
          <w:tcPr>
            <w:tcW w:w="4788" w:type="dxa"/>
            <w:tcBorders>
              <w:bottom w:val="single" w:sz="4" w:space="0" w:color="auto"/>
            </w:tcBorders>
            <w:shd w:val="clear" w:color="auto" w:fill="auto"/>
          </w:tcPr>
          <w:p>
            <w:r>
              <w:t>Not many (if any) of the acquisitions are financially healthy. By the time of the case, the acquired firms have been incorporated into DC Technology operations and it would be difficult to separate them from the parent company.</w:t>
            </w:r>
          </w:p>
        </w:tc>
      </w:tr>
      <w:tr>
        <w:tc>
          <w:tcPr>
            <w:tcW w:w="4788" w:type="dxa"/>
            <w:tcBorders>
              <w:bottom w:val="single" w:sz="4" w:space="0" w:color="auto"/>
            </w:tcBorders>
            <w:shd w:val="clear" w:color="auto" w:fill="FBD4B4"/>
          </w:tcPr>
          <w:p>
            <w:r>
              <w:t>For organic growth</w:t>
            </w:r>
          </w:p>
        </w:tc>
        <w:tc>
          <w:tcPr>
            <w:tcW w:w="4788" w:type="dxa"/>
            <w:tcBorders>
              <w:bottom w:val="single" w:sz="4" w:space="0" w:color="auto"/>
            </w:tcBorders>
            <w:shd w:val="clear" w:color="auto" w:fill="FBD4B4"/>
          </w:tcPr>
          <w:p>
            <w:r>
              <w:t>Against organic growth</w:t>
            </w:r>
          </w:p>
        </w:tc>
      </w:tr>
      <w:tr>
        <w:tc>
          <w:tcPr>
            <w:tcW w:w="4788" w:type="dxa"/>
            <w:shd w:val="clear" w:color="auto" w:fill="auto"/>
          </w:tcPr>
          <w:p>
            <w:r>
              <w:t>The firm would be less likely to overextend if it used profits to fund future growth. It is the safer alternative, when compared to using debt financing.</w:t>
            </w:r>
          </w:p>
        </w:tc>
        <w:tc>
          <w:tcPr>
            <w:tcW w:w="4788" w:type="dxa"/>
            <w:shd w:val="clear" w:color="auto" w:fill="auto"/>
          </w:tcPr>
          <w:p>
            <w:r>
              <w:t>Growth will occur more slowly without external financing.</w:t>
            </w:r>
          </w:p>
        </w:tc>
      </w:tr>
    </w:tbl>
    <w:p/>
    <w:p>
      <w:r>
        <w:t>Note that Chapter 7 bankruptcy refers to liquidation of a firm. Chapter 11 refers to reorganization, in which a firm restructures its debt and can emerge from bankruptcy in sounder condition.</w:t>
      </w:r>
    </w:p>
    <w:p>
      <w:pPr>
        <w:ind w:left="720" w:hanging="720"/>
      </w:pPr>
    </w:p>
    <w:p>
      <w:pPr>
        <w:ind w:left="720" w:hanging="720"/>
        <w:rPr>
          <w:i/>
        </w:rPr>
      </w:pPr>
      <w:r>
        <w:rPr>
          <w:i/>
        </w:rPr>
        <w:t>3. What should William do to alleviate the governance problem of having three owners who have difficulty agreeing?</w:t>
      </w:r>
    </w:p>
    <w:p>
      <w:pPr>
        <w:ind w:left="720" w:hanging="720"/>
        <w:rPr>
          <w:b/>
        </w:rPr>
      </w:pPr>
    </w:p>
    <w:p>
      <w:r>
        <w:t xml:space="preserve">This is a question for discussion and there may be many different correct answers. Here are some issues to consider. If it is always the same two of three partners who agree, then a solution may be to buy out the third dissident partner. If Carl’s refusal to allow his personal assets to guarantee loans is a stumbling block to obtaining future financing, then his role in the company needs to be redefined. If the problem is that John’s extreme risk aversion is holding the firm back, then William needs to find a way to alleviate John’s concerns over losing his house if the firm defaults on its bank loans. The case indicates that the primary conflicts are between William and John, with both parties trying to woo Carl. William and Carl have worked together before, co-founding a company together, and William brought Carl into Technology Experts, </w:t>
      </w:r>
      <w:proofErr w:type="gramStart"/>
      <w:r>
        <w:t>so</w:t>
      </w:r>
      <w:proofErr w:type="gramEnd"/>
      <w:r>
        <w:t xml:space="preserve"> they may have the most viable alliance. But William is concerned that Carl is working for “fun” since he doesn’t need the money and may not be taking the business seriously. Given a choice, from the information in the case, it appears that William will work better with Carl, as long as he can continue to incentivize Carl to work. William could potentially allay John’s concerns by receiving some of John’s ownership position in exchange for putting up more collateral himself and releasing John’s house as collateral. An issue seems to be differing levels of risk aversion among the partners. Two partners are more willing to take risks with their personal capital to get the business going. The case doesn’t mention William's marital status, but does note that John </w:t>
      </w:r>
      <w:r>
        <w:lastRenderedPageBreak/>
        <w:t>and Carl have families that enter into consideration. Also, John is the “rainmaker” of the firm so that may lead William to find a way to continue to work with John to take advantage of his ability to attract clients. The firm does not appear to be at a point where it needs to declare bankruptcy. It is solvent both on a flow basis (positive cash flow) and on an assets basis (assets are greater than liabilities). Given the problems created by the owners of several of the acquired firms, William may be in a good position to negotiate less than 100 percent payment of the subordinated debt held by these former owners.</w:t>
      </w:r>
    </w:p>
    <w:p>
      <w:pPr>
        <w:ind w:left="360"/>
      </w:pPr>
    </w:p>
    <w:p>
      <w:pPr>
        <w:rPr>
          <w:b/>
        </w:rPr>
      </w:pPr>
      <w:r>
        <w:rPr>
          <w:b/>
        </w:rPr>
        <w:t>In Summary</w:t>
      </w:r>
    </w:p>
    <w:p/>
    <w:p>
      <w:pPr>
        <w:numPr>
          <w:ilvl w:val="0"/>
          <w:numId w:val="9"/>
        </w:numPr>
      </w:pPr>
      <w:r>
        <w:rPr>
          <w:u w:val="single"/>
        </w:rPr>
        <w:t>Bankruptcy</w:t>
      </w:r>
      <w:r>
        <w:t>. This is not the ideal option. Instead, William could threaten bankruptcy to encourage his former stockholders turned shareholders to reduce the debt owed to them. Once debt is lowered, more financing options will be available to the firm.</w:t>
      </w:r>
    </w:p>
    <w:p>
      <w:pPr>
        <w:numPr>
          <w:ilvl w:val="0"/>
          <w:numId w:val="9"/>
        </w:numPr>
      </w:pPr>
      <w:r>
        <w:rPr>
          <w:u w:val="single"/>
        </w:rPr>
        <w:t>Negotiate with John and Carl</w:t>
      </w:r>
      <w:r>
        <w:t>. William should decide who would be the better single partner and buy out the remaining partner. If he believes John’s rainmaking abilities must be kept, then he could take some of John’s share in exchange for contributing collateral and release John’s home. Ideally, he should end up with 51 percent of the firm.</w:t>
      </w:r>
    </w:p>
    <w:p>
      <w:pPr>
        <w:numPr>
          <w:ilvl w:val="0"/>
          <w:numId w:val="9"/>
        </w:numPr>
      </w:pPr>
      <w:r>
        <w:rPr>
          <w:u w:val="single"/>
        </w:rPr>
        <w:t>Re-negotiate the partner agreement</w:t>
      </w:r>
      <w:r>
        <w:t xml:space="preserve"> to allow William as CEO to have more discretion in making everyday operating decisions. Right now, the three partners must debate too many minor decisions instead of having a managing partner who handles the everyday operations for the firm.</w:t>
      </w:r>
    </w:p>
    <w:p>
      <w:pPr>
        <w:numPr>
          <w:ilvl w:val="0"/>
          <w:numId w:val="9"/>
        </w:numPr>
      </w:pPr>
      <w:r>
        <w:rPr>
          <w:u w:val="single"/>
        </w:rPr>
        <w:t>Find a new equity partner</w:t>
      </w:r>
      <w:r>
        <w:t>. William could look for an investment partner (as opposed to an operating partner). Ideally, the new partner would have contacts in the business community who could supply potential clients.</w:t>
      </w:r>
    </w:p>
    <w:p>
      <w:pPr>
        <w:numPr>
          <w:ilvl w:val="0"/>
          <w:numId w:val="9"/>
        </w:numPr>
      </w:pPr>
      <w:r>
        <w:rPr>
          <w:u w:val="single"/>
        </w:rPr>
        <w:t>Sell the company</w:t>
      </w:r>
      <w:r>
        <w:t>. This is a good option if the price is sufficient to pay the firm’s debts and leave the partners some return on their investment. This is a less likely option at this time, given the state of the economy. Potential buyers are looking for distressed firms, and Technology Experts is still viable operationally.</w:t>
      </w:r>
    </w:p>
    <w:p>
      <w:pPr>
        <w:spacing w:line="276" w:lineRule="auto"/>
        <w:rPr>
          <w:b/>
        </w:rPr>
      </w:pPr>
    </w:p>
    <w:p>
      <w:pPr>
        <w:spacing w:line="276" w:lineRule="auto"/>
      </w:pPr>
      <w:r>
        <w:rPr>
          <w:b/>
        </w:rPr>
        <w:t xml:space="preserve">Epilogue: </w:t>
      </w:r>
      <w:r>
        <w:t>At the time this was written at the beginning of 2014, ITE was on track with its revenue, growth and profitability goals. Founder John Swenson is no longer with the firm. William bought out John’s 1/3 share and now controls 2/3 of the firm. William tried many different alternatives outlined in the case. First, ITE looked for a buyer. William was only able to find a buyer willing to pay $1,200,000 for the firm, which was not sufficient to cover the firm’s debts and provided no return to the owners. If ITE had accepted this offer, there would have been enough money to redeem John’s house, but nothing for William or Carl. John was in favor of selling; William and Carl were not.</w:t>
      </w:r>
    </w:p>
    <w:p>
      <w:pPr>
        <w:ind w:firstLine="720"/>
      </w:pPr>
    </w:p>
    <w:p>
      <w:r>
        <w:t>William realized that he needed to reduce the firm’s liabilities. Much of the debt was in the form of debt securities from the owners of the firms that ITE had acquired. The firm defaulted on the subordinated, non secured debt held by the former owners of the acquisitions. With prompting from William, each of the previous owners agreed to accept payback at substantially less than face value of $500,000. In November 2011 William personally bought the debt for $200,000 and restructured the payment to make it more affordable for the firm by reducing monthly payments on the debt.</w:t>
      </w:r>
    </w:p>
    <w:p>
      <w:pPr>
        <w:ind w:firstLine="720"/>
      </w:pPr>
    </w:p>
    <w:p>
      <w:r>
        <w:t xml:space="preserve">William believed John’s unwillingness to take any risk was hampering the growth and future of the firm. John was concerned because his home served as collateral for ITE’s bank loans, and he was unwilling to risk losing his family’s home. In return for John’s third of the firm, William agreed to put up additional collateral, taking John’s home out of the picture. William then owned two thirds of the firm and no longer had an issue with his previous inability to make major decisions for the firm. Now, with William as majority owner and Carl as minority owner, the firm is improving and decision making has been streamlined. </w:t>
      </w:r>
      <w:r>
        <w:br/>
      </w:r>
    </w:p>
    <w:sectPr>
      <w:footerReference w:type="default" r:id="rId7"/>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437C9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jc w:val="right"/>
    </w:pPr>
    <w:fldSimple w:instr=" PAGE   \* MERGEFORMAT ">
      <w:r>
        <w:rPr>
          <w:noProof/>
        </w:rPr>
        <w:t>4</w:t>
      </w:r>
    </w:fldSimple>
  </w:p>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73FBE"/>
    <w:multiLevelType w:val="hybridMultilevel"/>
    <w:tmpl w:val="724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AD230F"/>
    <w:multiLevelType w:val="hybridMultilevel"/>
    <w:tmpl w:val="724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C2164"/>
    <w:multiLevelType w:val="hybridMultilevel"/>
    <w:tmpl w:val="724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6F0BC8"/>
    <w:multiLevelType w:val="hybridMultilevel"/>
    <w:tmpl w:val="CFB60F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0F7CE0"/>
    <w:multiLevelType w:val="hybridMultilevel"/>
    <w:tmpl w:val="724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6C43ED"/>
    <w:multiLevelType w:val="hybridMultilevel"/>
    <w:tmpl w:val="28C45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561561"/>
    <w:multiLevelType w:val="hybridMultilevel"/>
    <w:tmpl w:val="724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9A05AB"/>
    <w:multiLevelType w:val="hybridMultilevel"/>
    <w:tmpl w:val="36827EA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4ACB1FD8"/>
    <w:multiLevelType w:val="hybridMultilevel"/>
    <w:tmpl w:val="D2EAF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B7891"/>
    <w:multiLevelType w:val="hybridMultilevel"/>
    <w:tmpl w:val="C47C55F0"/>
    <w:lvl w:ilvl="0" w:tplc="CC9AA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364859"/>
    <w:multiLevelType w:val="hybridMultilevel"/>
    <w:tmpl w:val="75EA1B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490895"/>
    <w:multiLevelType w:val="hybridMultilevel"/>
    <w:tmpl w:val="AF6894D2"/>
    <w:lvl w:ilvl="0" w:tplc="94201D2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267709"/>
    <w:multiLevelType w:val="hybridMultilevel"/>
    <w:tmpl w:val="98EE4E8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0D561C4"/>
    <w:multiLevelType w:val="hybridMultilevel"/>
    <w:tmpl w:val="524EFC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9"/>
  </w:num>
  <w:num w:numId="4">
    <w:abstractNumId w:val="2"/>
  </w:num>
  <w:num w:numId="5">
    <w:abstractNumId w:val="6"/>
  </w:num>
  <w:num w:numId="6">
    <w:abstractNumId w:val="12"/>
  </w:num>
  <w:num w:numId="7">
    <w:abstractNumId w:val="10"/>
  </w:num>
  <w:num w:numId="8">
    <w:abstractNumId w:val="3"/>
  </w:num>
  <w:num w:numId="9">
    <w:abstractNumId w:val="13"/>
  </w:num>
  <w:num w:numId="10">
    <w:abstractNumId w:val="4"/>
  </w:num>
  <w:num w:numId="11">
    <w:abstractNumId w:val="7"/>
  </w:num>
  <w:num w:numId="12">
    <w:abstractNumId w:val="1"/>
  </w:num>
  <w:num w:numId="13">
    <w:abstractNumId w:val="5"/>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ie Vidich">
    <w15:presenceInfo w15:providerId="None" w15:userId="Jamie Vidic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Tahoma" w:hAnsi="Tahoma"/>
      <w:sz w:val="16"/>
      <w:szCs w:val="16"/>
      <w:lang/>
    </w:rPr>
  </w:style>
  <w:style w:type="character" w:customStyle="1" w:styleId="BalloonTextChar">
    <w:name w:val="Balloon Text Char"/>
    <w:link w:val="BalloonText"/>
    <w:uiPriority w:val="99"/>
    <w:semiHidden/>
    <w:rPr>
      <w:rFonts w:ascii="Tahoma" w:eastAsia="Times New Roman" w:hAnsi="Tahoma" w:cs="Tahoma"/>
      <w:sz w:val="16"/>
      <w:szCs w:val="16"/>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lang/>
    </w:rPr>
  </w:style>
  <w:style w:type="character" w:customStyle="1" w:styleId="CommentTextChar">
    <w:name w:val="Comment Text Char"/>
    <w:link w:val="CommentText"/>
    <w:uiPriority w:val="99"/>
    <w:semiHidden/>
    <w:rPr>
      <w:rFonts w:eastAsia="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Times New Roman"/>
      <w:b/>
      <w:bCs/>
      <w:sz w:val="20"/>
      <w:szCs w:val="20"/>
    </w:rPr>
  </w:style>
  <w:style w:type="paragraph" w:styleId="Header">
    <w:name w:val="header"/>
    <w:basedOn w:val="Normal"/>
    <w:link w:val="HeaderChar"/>
    <w:uiPriority w:val="99"/>
    <w:semiHidden/>
    <w:unhideWhenUsed/>
    <w:pPr>
      <w:tabs>
        <w:tab w:val="center" w:pos="4680"/>
        <w:tab w:val="right" w:pos="9360"/>
      </w:tabs>
    </w:pPr>
    <w:rPr>
      <w:sz w:val="20"/>
      <w:lang/>
    </w:rPr>
  </w:style>
  <w:style w:type="character" w:customStyle="1" w:styleId="HeaderChar">
    <w:name w:val="Header Char"/>
    <w:link w:val="Header"/>
    <w:uiPriority w:val="99"/>
    <w:semiHidden/>
    <w:rPr>
      <w:rFonts w:eastAsia="Times New Roman"/>
      <w:szCs w:val="24"/>
    </w:rPr>
  </w:style>
  <w:style w:type="paragraph" w:styleId="Footer">
    <w:name w:val="footer"/>
    <w:basedOn w:val="Normal"/>
    <w:link w:val="FooterChar"/>
    <w:uiPriority w:val="99"/>
    <w:unhideWhenUsed/>
    <w:pPr>
      <w:tabs>
        <w:tab w:val="center" w:pos="4680"/>
        <w:tab w:val="right" w:pos="9360"/>
      </w:tabs>
    </w:pPr>
    <w:rPr>
      <w:sz w:val="20"/>
      <w:lang/>
    </w:rPr>
  </w:style>
  <w:style w:type="character" w:customStyle="1" w:styleId="FooterChar">
    <w:name w:val="Footer Char"/>
    <w:link w:val="Footer"/>
    <w:uiPriority w:val="99"/>
    <w:rPr>
      <w:rFonts w:eastAsia="Times New Roman"/>
      <w:szCs w:val="24"/>
    </w:rPr>
  </w:style>
  <w:style w:type="paragraph" w:styleId="FootnoteText">
    <w:name w:val="footnote text"/>
    <w:basedOn w:val="Normal"/>
    <w:link w:val="FootnoteTextChar"/>
    <w:uiPriority w:val="99"/>
    <w:semiHidden/>
    <w:unhideWhenUsed/>
    <w:pPr>
      <w:jc w:val="center"/>
    </w:pPr>
    <w:rPr>
      <w:rFonts w:eastAsia="Calibri"/>
      <w:sz w:val="20"/>
      <w:szCs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uiPriority w:val="99"/>
    <w:semiHidden/>
    <w:unhideWhenUsed/>
    <w:rPr>
      <w:vertAlign w:val="superscript"/>
    </w:rPr>
  </w:style>
</w:styles>
</file>

<file path=word/webSettings.xml><?xml version="1.0" encoding="utf-8"?>
<w:webSettings xmlns:r="http://schemas.openxmlformats.org/officeDocument/2006/relationships" xmlns:w="http://schemas.openxmlformats.org/wordprocessingml/2006/main">
  <w:divs>
    <w:div w:id="79456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A. White</dc:creator>
  <cp:lastModifiedBy>bellc</cp:lastModifiedBy>
  <cp:revision>15</cp:revision>
  <cp:lastPrinted>2014-05-20T18:29:00Z</cp:lastPrinted>
  <dcterms:created xsi:type="dcterms:W3CDTF">2014-10-17T15:22:00Z</dcterms:created>
  <dcterms:modified xsi:type="dcterms:W3CDTF">2015-03-25T10:23:00Z</dcterms:modified>
</cp:coreProperties>
</file>